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E4" w:rsidRDefault="002067E4" w:rsidP="00597801">
      <w:pPr>
        <w:pageBreakBefore/>
      </w:pPr>
      <w:r>
        <w:rPr>
          <w:rFonts w:hint="eastAsia"/>
          <w:noProof/>
        </w:rPr>
        <w:drawing>
          <wp:inline distT="0" distB="0" distL="0" distR="0">
            <wp:extent cx="6896100" cy="9753600"/>
            <wp:effectExtent l="0" t="0" r="0" b="0"/>
            <wp:docPr id="1" name="圖片 1" descr="C:\Users\user\Desktop\DM 福建藍眼淚行程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M 福建藍眼淚行程表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01" w:rsidRPr="004450B4" w:rsidRDefault="001D6C05" w:rsidP="00597801">
      <w:pPr>
        <w:pageBreakBefore/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84.15pt;margin-top:-2.25pt;width:96pt;height:26.15pt;z-index:-251650048" wrapcoords="7425 0 2362 0 169 5554 506 9874 -169 13577 0 19131 2025 22217 3206 22217 8944 22217 22275 22217 22275 2469 19912 617 8438 0 7425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18pt;v-text-reverse:t;v-text-kern:t" trim="t" fitpath="t" string="非常中國"/>
            <w10:wrap type="tight"/>
          </v:shape>
        </w:pict>
      </w:r>
      <w:r>
        <w:rPr>
          <w:noProof/>
        </w:rPr>
        <w:pict>
          <v:shape id="_x0000_s1031" type="#_x0000_t136" style="position:absolute;margin-left:169.65pt;margin-top:-18.55pt;width:204pt;height:43.3pt;z-index:251665408" fillcolor="#7030a0" stroked="f">
            <v:fill color2="fill darken(118)" rotate="t" angle="-135" focusposition=".5,.5" focussize="" method="linear sigma" focus="100%" type="gradientRadial"/>
            <v:shadow on="t" color="silver"/>
            <v:textpath style="font-family:&quot;標楷體&quot;;v-text-reverse:t;v-text-kern:t" trim="t" fitpath="t" string="逸歡旅遊"/>
          </v:shape>
        </w:pict>
      </w:r>
      <w:r>
        <w:rPr>
          <w:noProof/>
        </w:rPr>
        <w:pict>
          <v:shape id="_x0000_s1030" type="#_x0000_t136" style="position:absolute;margin-left:60.15pt;margin-top:-2.25pt;width:96pt;height:26.15pt;z-index:-251652096" wrapcoords="2194 0 338 3086 -169 8023 -169 16663 0 19131 338 21600 5738 22217 14850 22217 15694 22217 21431 22217 22275 21600 22275 1234 19406 0 3038 0 2194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18pt;v-text-reverse:t;v-text-kern:t" trim="t" fitpath="t" string="澳妙神州"/>
            <w10:wrap type="tight"/>
          </v:shape>
        </w:pict>
      </w:r>
    </w:p>
    <w:p w:rsidR="00597801" w:rsidRPr="004450B4" w:rsidRDefault="001D6C05" w:rsidP="00597801">
      <w:r>
        <w:rPr>
          <w:noProof/>
        </w:rPr>
        <w:pict>
          <v:shape id="_x0000_s1034" type="#_x0000_t136" style="position:absolute;margin-left:-2.1pt;margin-top:16.1pt;width:520.65pt;height:43.3pt;z-index:-251642880" wrapcoords="5447 0 1089 745 187 1490 249 5959 0 7448 93 11917 -31 14897 0 15641 156 17876 156 20855 1681 22345 4295 22345 4451 22345 21662 22345 21724 18993 21631 17876 21289 11917 21569 11172 21569 9683 21227 5959 21538 5214 21009 372 5602 0 5447 0" fillcolor="#7030a0" stroked="f">
            <v:fill color2="fill darken(118)" rotate="t" focusposition=".5,.5" focussize="" method="linear sigma" focus="100%" type="gradientRadial"/>
            <v:shadow on="t" color="#b2b2b2" opacity="52429f" offset="3pt"/>
            <v:textpath style="font-family:&quot;標楷體&quot;;font-size:28pt;v-text-reverse:t;v-text-kern:t" trim="t" fitpath="t" string="福州平潭藍眼淚永安安貞堡馬戲五星五天"/>
            <w10:wrap type="tight"/>
          </v:shape>
        </w:pict>
      </w:r>
    </w:p>
    <w:p w:rsidR="00597801" w:rsidRPr="004450B4" w:rsidRDefault="00597801" w:rsidP="00597801">
      <w:pPr>
        <w:pStyle w:val="a3"/>
        <w:spacing w:line="300" w:lineRule="exact"/>
        <w:ind w:leftChars="0" w:left="840"/>
        <w:rPr>
          <w:rFonts w:ascii="標楷體" w:eastAsia="標楷體" w:hAnsi="標楷體" w:cs="Arial"/>
          <w:b/>
          <w:bCs/>
          <w:sz w:val="26"/>
          <w:szCs w:val="26"/>
        </w:rPr>
      </w:pPr>
    </w:p>
    <w:p w:rsidR="005F52B6" w:rsidRPr="004450B4" w:rsidRDefault="001D6C05" w:rsidP="00597801">
      <w:pPr>
        <w:pStyle w:val="a3"/>
        <w:spacing w:line="300" w:lineRule="exact"/>
        <w:ind w:leftChars="0" w:left="0"/>
        <w:rPr>
          <w:rFonts w:ascii="標楷體" w:eastAsia="標楷體" w:hAnsi="標楷體" w:cs="Arial"/>
          <w:b/>
          <w:bCs/>
          <w:sz w:val="26"/>
          <w:szCs w:val="26"/>
        </w:rPr>
      </w:pPr>
      <w:r>
        <w:rPr>
          <w:rFonts w:ascii="標楷體" w:eastAsia="標楷體" w:hAnsi="標楷體" w:cs="Arial"/>
          <w:b/>
          <w:bCs/>
          <w:noProof/>
          <w:sz w:val="26"/>
          <w:szCs w:val="26"/>
        </w:rPr>
        <w:pict>
          <v:shape id="_x0000_s1033" type="#_x0000_t136" style="position:absolute;margin-left:117.15pt;margin-top:-10.1pt;width:267pt;height:20.25pt;z-index:-251643904" wrapcoords="17110 0 121 0 -61 12800 61 20000 607 23200 1881 23200 20447 23200 21539 23200 21843 20800 21843 1600 21357 0 17656 0 17110 0" fillcolor="#7030a0" stroked="f">
            <v:fill color2="#003459" rotate="t"/>
            <v:shadow on="t" color="#b2b2b2" opacity="52429f" offset="3pt"/>
            <v:textpath style="font-family:&quot;標楷體&quot;;font-size:20pt;font-weight:bold;v-text-reverse:t;v-text-kern:t" trim="t" fitpath="t" string="全程大通包!無購物站無自費行程!"/>
            <w10:wrap type="tight"/>
          </v:shape>
        </w:pict>
      </w:r>
    </w:p>
    <w:p w:rsidR="00597801" w:rsidRPr="004450B4" w:rsidRDefault="00597801" w:rsidP="00597801">
      <w:pPr>
        <w:pStyle w:val="a3"/>
        <w:spacing w:line="300" w:lineRule="exact"/>
        <w:ind w:leftChars="0" w:left="0"/>
        <w:rPr>
          <w:rFonts w:ascii="標楷體" w:eastAsia="標楷體" w:hAnsi="標楷體" w:cs="Arial"/>
          <w:b/>
          <w:bCs/>
          <w:sz w:val="26"/>
          <w:szCs w:val="26"/>
        </w:rPr>
      </w:pPr>
    </w:p>
    <w:p w:rsidR="00597801" w:rsidRPr="004450B4" w:rsidRDefault="005F52B6" w:rsidP="005F52B6">
      <w:pPr>
        <w:pStyle w:val="a3"/>
        <w:numPr>
          <w:ilvl w:val="0"/>
          <w:numId w:val="2"/>
        </w:numPr>
        <w:spacing w:line="300" w:lineRule="exact"/>
        <w:ind w:leftChars="0" w:hanging="1282"/>
        <w:rPr>
          <w:rFonts w:ascii="標楷體" w:eastAsia="標楷體" w:hAnsi="標楷體" w:cs="Arial"/>
          <w:b/>
          <w:bCs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松山/福州/平潭  石頭厝文化村、夜遊海壇古城</w:t>
      </w:r>
      <w:r w:rsidR="00F337CC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、探訪藍眼淚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521"/>
        <w:gridCol w:w="3956"/>
        <w:gridCol w:w="3664"/>
      </w:tblGrid>
      <w:tr w:rsidR="004450B4" w:rsidRPr="004450B4" w:rsidTr="005F52B6">
        <w:trPr>
          <w:trHeight w:val="241"/>
        </w:trPr>
        <w:tc>
          <w:tcPr>
            <w:tcW w:w="841" w:type="pct"/>
          </w:tcPr>
          <w:p w:rsidR="005F52B6" w:rsidRPr="004450B4" w:rsidRDefault="005F52B6" w:rsidP="0002743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hint="eastAsia"/>
                <w:b/>
              </w:rPr>
              <w:t>【福州】</w:t>
            </w:r>
          </w:p>
        </w:tc>
        <w:tc>
          <w:tcPr>
            <w:tcW w:w="4159" w:type="pct"/>
            <w:gridSpan w:val="3"/>
          </w:tcPr>
          <w:p w:rsidR="005F52B6" w:rsidRPr="004450B4" w:rsidRDefault="005F52B6" w:rsidP="00027432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福州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位於福建省東部的閩江下游及沿海地區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76707C" w:rsidRPr="004450B4" w:rsidTr="005F52B6">
        <w:tc>
          <w:tcPr>
            <w:tcW w:w="841" w:type="pct"/>
          </w:tcPr>
          <w:p w:rsidR="0076707C" w:rsidRDefault="0076707C" w:rsidP="0094491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proofErr w:type="gramEnd"/>
            <w:r w:rsidRPr="0076707C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石頭厝</w:t>
            </w:r>
          </w:p>
          <w:p w:rsidR="0076707C" w:rsidRPr="004450B4" w:rsidRDefault="0076707C" w:rsidP="0094491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       </w:t>
            </w:r>
            <w:r w:rsidRPr="0076707C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文化村</w:t>
            </w: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5A550B" w:rsidRPr="005A550B" w:rsidRDefault="005A550B" w:rsidP="002067E4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在平潭现有的石头厝里，民宅单体模式主要有四扇厝、竹篙厝两种。</w:t>
            </w:r>
          </w:p>
          <w:p w:rsidR="005A550B" w:rsidRPr="005A550B" w:rsidRDefault="005A550B" w:rsidP="002067E4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四扇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厝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是平潭传统民居最主要的形式，属于福建民居类型中“一明二暗”。从清代中叶至20世纪七八十年代，四扇厝一直是平潭传统民居的主要形式。四扇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厝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以单进四扇房为主，房内左右两侧为房，分前后房；中为厅堂，也分前厅与后厅，后厅一般用作厨房、杂物间、仓库，或用于放置渔、农生产用具。这种构造的房屋特别适合旧式大家庭居住。</w:t>
            </w:r>
          </w:p>
          <w:p w:rsidR="0076707C" w:rsidRPr="005A550B" w:rsidRDefault="005A550B" w:rsidP="002067E4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竹篙厝是平潭建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筑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又一特色。清代初期，朝廷调闽南水师驻扎平潭，兵营建在竹屿口，采用闽南竹篙厝形式。</w:t>
            </w:r>
            <w:proofErr w:type="gramStart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后</w:t>
            </w:r>
            <w:proofErr w:type="gramEnd"/>
            <w:r w:rsidRPr="005A550B">
              <w:rPr>
                <w:rFonts w:ascii="標楷體" w:eastAsia="標楷體" w:hAnsi="標楷體" w:cs="Arial" w:hint="eastAsia"/>
                <w:bCs/>
                <w:szCs w:val="24"/>
              </w:rPr>
              <w:t>来当地居民仿建竹篙厝，从而成为平潭民居的另一种形式。</w:t>
            </w:r>
          </w:p>
        </w:tc>
      </w:tr>
      <w:tr w:rsidR="004450B4" w:rsidRPr="004450B4" w:rsidTr="005F52B6">
        <w:tc>
          <w:tcPr>
            <w:tcW w:w="841" w:type="pct"/>
          </w:tcPr>
          <w:p w:rsidR="00487F86" w:rsidRPr="004450B4" w:rsidRDefault="0094491B" w:rsidP="0094491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r w:rsidR="0096571D"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海壇古城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487F86" w:rsidRPr="004450B4" w:rsidRDefault="0096571D" w:rsidP="0094491B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位於</w:t>
            </w:r>
            <w:hyperlink r:id="rId10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壇南灣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組團國際旅遊休閒度假板塊，主打的景點壇南灣海岸綿延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22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公里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環境優美無污染。林帶護衛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丘陵環抱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灣內海域遼闊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岸線曲折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港澳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眾多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島現礁隱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激浪千層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層次繁複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色彩豐富。壇南灣東臨大海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灘面平緩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細沙如銀</w:t>
            </w:r>
            <w:proofErr w:type="gramEnd"/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有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"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壇南銀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灘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"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之稱。壇南灣盡頭的潭</w:t>
            </w:r>
            <w:hyperlink r:id="rId11" w:tgtFrame="_blank" w:history="1">
              <w:proofErr w:type="gramStart"/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角尾</w:t>
              </w:r>
              <w:proofErr w:type="gramEnd"/>
            </w:hyperlink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岬角突出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景物不凡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象形奇岩遍佈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海濱沙崗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4450B4" w:rsidRPr="004450B4" w:rsidTr="00027432">
        <w:tc>
          <w:tcPr>
            <w:tcW w:w="841" w:type="pct"/>
          </w:tcPr>
          <w:p w:rsidR="00F337CC" w:rsidRPr="004450B4" w:rsidRDefault="00F337CC" w:rsidP="00F337CC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【藍眼淚】</w:t>
            </w:r>
          </w:p>
        </w:tc>
        <w:tc>
          <w:tcPr>
            <w:tcW w:w="4159" w:type="pct"/>
            <w:gridSpan w:val="3"/>
          </w:tcPr>
          <w:p w:rsidR="00F337CC" w:rsidRPr="004450B4" w:rsidRDefault="00F337CC" w:rsidP="00027432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在海浪的拍打下，不斷出現螢光色的藍點，整個海岸線猶如浩瀚的銀河星空，讓人仿佛置身在“阿凡達”的美妙世界裡。據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遊客報料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，壇南灣已連續多日出現“藍眼淚”奇觀。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br/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※此為自然現象，不一定看得到。</w:t>
            </w:r>
          </w:p>
        </w:tc>
      </w:tr>
      <w:tr w:rsidR="004450B4" w:rsidRPr="004450B4" w:rsidTr="005F52B6">
        <w:tc>
          <w:tcPr>
            <w:tcW w:w="1533" w:type="pct"/>
            <w:gridSpan w:val="2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早餐：X</w:t>
            </w:r>
          </w:p>
        </w:tc>
        <w:tc>
          <w:tcPr>
            <w:tcW w:w="1800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福州風味</w:t>
            </w:r>
          </w:p>
        </w:tc>
        <w:tc>
          <w:tcPr>
            <w:tcW w:w="1667" w:type="pct"/>
          </w:tcPr>
          <w:p w:rsidR="00597801" w:rsidRPr="004450B4" w:rsidRDefault="00597801" w:rsidP="000D106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</w:t>
            </w:r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平潭風味</w:t>
            </w:r>
          </w:p>
        </w:tc>
      </w:tr>
      <w:tr w:rsidR="004450B4" w:rsidRPr="004450B4" w:rsidTr="005F52B6">
        <w:tc>
          <w:tcPr>
            <w:tcW w:w="5000" w:type="pct"/>
            <w:gridSpan w:val="4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住宿：准★★★★★</w:t>
            </w:r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華美達</w:t>
            </w:r>
            <w:proofErr w:type="gramStart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酒店或宇誠</w:t>
            </w:r>
            <w:proofErr w:type="gramEnd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</w:t>
            </w:r>
            <w:proofErr w:type="gramStart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龍壇灣</w:t>
            </w:r>
            <w:proofErr w:type="gramEnd"/>
            <w:r w:rsidR="0096571D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酒店或同級</w:t>
            </w:r>
          </w:p>
        </w:tc>
      </w:tr>
    </w:tbl>
    <w:p w:rsidR="00E93445" w:rsidRPr="004450B4" w:rsidRDefault="0096571D" w:rsidP="00E93445">
      <w:pPr>
        <w:pStyle w:val="a3"/>
        <w:numPr>
          <w:ilvl w:val="0"/>
          <w:numId w:val="2"/>
        </w:numPr>
        <w:spacing w:line="300" w:lineRule="exact"/>
        <w:ind w:leftChars="0" w:hanging="1282"/>
        <w:rPr>
          <w:rFonts w:ascii="標楷體" w:eastAsia="標楷體" w:hAnsi="標楷體" w:cs="Arial"/>
          <w:b/>
          <w:bCs/>
          <w:sz w:val="28"/>
          <w:szCs w:val="28"/>
        </w:rPr>
      </w:pPr>
      <w:proofErr w:type="gramStart"/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平壇 半洋石帆</w:t>
      </w:r>
      <w:r w:rsidRPr="004450B4">
        <w:rPr>
          <w:rFonts w:ascii="標楷體" w:eastAsia="標楷體" w:hAnsi="標楷體" w:cs="Arial"/>
          <w:b/>
          <w:bCs/>
          <w:sz w:val="28"/>
          <w:szCs w:val="28"/>
        </w:rPr>
        <w:t>–</w:t>
      </w:r>
      <w:proofErr w:type="gramEnd"/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永安</w:t>
      </w:r>
      <w:r w:rsidR="00BB57E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proofErr w:type="gramStart"/>
      <w:r w:rsidR="00BB57E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安貞堡</w:t>
      </w:r>
      <w:proofErr w:type="gramEnd"/>
      <w:r w:rsidR="00BB57E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(福建省內最大的</w:t>
      </w:r>
      <w:proofErr w:type="gramStart"/>
      <w:r w:rsidR="00BB57E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城堡式民古建築</w:t>
      </w:r>
      <w:proofErr w:type="gramEnd"/>
      <w:r w:rsidR="00BB57E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670"/>
        <w:gridCol w:w="4806"/>
        <w:gridCol w:w="3663"/>
      </w:tblGrid>
      <w:tr w:rsidR="004450B4" w:rsidRPr="004450B4" w:rsidTr="008046C1">
        <w:tc>
          <w:tcPr>
            <w:tcW w:w="841" w:type="pct"/>
          </w:tcPr>
          <w:p w:rsidR="00F22DC5" w:rsidRPr="004450B4" w:rsidRDefault="00F22DC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【</w:t>
            </w:r>
            <w:r w:rsidR="00BB57E1"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半洋石帆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F22DC5" w:rsidRPr="004450B4" w:rsidRDefault="00BB57E1" w:rsidP="00C93C2F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石牌洋。又稱為“半洋石帆”和“雙帆石”。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 xml:space="preserve"> 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從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看澳村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岸邊坐渡船，十幾分鐘就到達礁石上，礁石底部是一組平坦完整的岩石。兩個石柱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均由粗粒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灰白色的花崗岩組成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 xml:space="preserve"> 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東側的一個高達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33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胸寬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9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，厚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8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米；西側的一個高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17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胸寬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15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，厚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8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米。兩個石柱的底部都是近似四方形體，直立在礁石上。由於海水侵蝕和自然風化，岩壁花崗岩風化，形成一座光頭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凸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肚的</w:t>
            </w:r>
            <w:hyperlink r:id="rId12" w:tgtFrame="_blank" w:history="1">
              <w:r w:rsidRPr="004450B4">
                <w:rPr>
                  <w:rFonts w:ascii="標楷體" w:eastAsia="標楷體" w:hAnsi="標楷體" w:cs="Arial" w:hint="eastAsia"/>
                  <w:bCs/>
                  <w:szCs w:val="24"/>
                </w:rPr>
                <w:t>彌勒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佛像。石像曲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膝盤坐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，身高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12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肩寬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12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米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，頭、身、手、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足畢現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，形象生動，狀如半浮雕。圍繞佛身有一條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棕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黃色的火成岩脈，就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象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獻給佛像的一條金色“哈達”，也是自然巧合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 xml:space="preserve"> 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佳趣天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成。</w:t>
            </w:r>
          </w:p>
        </w:tc>
      </w:tr>
      <w:tr w:rsidR="004450B4" w:rsidRPr="004450B4" w:rsidTr="008046C1">
        <w:tc>
          <w:tcPr>
            <w:tcW w:w="841" w:type="pct"/>
          </w:tcPr>
          <w:p w:rsidR="00E93445" w:rsidRPr="004450B4" w:rsidRDefault="00F7462B" w:rsidP="00F7462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0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【</w:t>
            </w:r>
            <w:r w:rsidR="00BB57E1"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安貞堡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】</w:t>
            </w:r>
          </w:p>
        </w:tc>
        <w:tc>
          <w:tcPr>
            <w:tcW w:w="4159" w:type="pct"/>
            <w:gridSpan w:val="3"/>
          </w:tcPr>
          <w:p w:rsidR="00E93445" w:rsidRPr="004450B4" w:rsidRDefault="00BB57E1" w:rsidP="00F7462B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又名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“</w:t>
            </w:r>
            <w:hyperlink r:id="rId13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池貫城</w:t>
              </w:r>
            </w:hyperlink>
            <w:r w:rsidRPr="004450B4">
              <w:rPr>
                <w:rFonts w:ascii="標楷體" w:eastAsia="標楷體" w:hAnsi="標楷體" w:cs="Arial"/>
                <w:bCs/>
                <w:szCs w:val="24"/>
              </w:rPr>
              <w:t>”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，位於距</w:t>
            </w:r>
            <w:hyperlink r:id="rId14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福建省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永安市城區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110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公里的</w:t>
            </w:r>
            <w:hyperlink r:id="rId15" w:tgtFrame="_blank" w:history="1">
              <w:proofErr w:type="gramStart"/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槐南鎮</w:t>
              </w:r>
              <w:proofErr w:type="gramEnd"/>
            </w:hyperlink>
            <w:hyperlink r:id="rId16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洋頭村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內，由當地鄉紳池占瑞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于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建於清朝</w:t>
            </w:r>
            <w:hyperlink r:id="rId17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光緒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十一年（西元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1885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年），歷時十四年完工。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該堡占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地面積約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萬平方米，建築面積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5800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平方米，是</w:t>
            </w:r>
            <w:hyperlink r:id="rId18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福建省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罕見的大型</w:t>
            </w:r>
            <w:hyperlink r:id="rId19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民居建築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安貞堡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是福建省保存最完好的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古代夯土建築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之一，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1991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年被列為福建省第二批重點文物保護單位；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2001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年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6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月，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安貞堡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升格為第五批</w:t>
            </w:r>
            <w:hyperlink r:id="rId20" w:tgtFrame="_blank" w:history="1">
              <w:r w:rsidRPr="004450B4">
                <w:rPr>
                  <w:rFonts w:ascii="標楷體" w:eastAsia="標楷體" w:hAnsi="標楷體" w:hint="eastAsia"/>
                  <w:bCs/>
                  <w:szCs w:val="24"/>
                </w:rPr>
                <w:t>中國重點文物保護單位</w:t>
              </w:r>
            </w:hyperlink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4450B4" w:rsidRPr="004450B4" w:rsidTr="00E93445">
        <w:tc>
          <w:tcPr>
            <w:tcW w:w="1146" w:type="pct"/>
            <w:gridSpan w:val="2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</w:t>
            </w:r>
            <w:r w:rsidR="00BB57E1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酒店內</w:t>
            </w:r>
          </w:p>
        </w:tc>
        <w:tc>
          <w:tcPr>
            <w:tcW w:w="2187" w:type="pct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BB57E1" w:rsidRPr="004450B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中式合菜</w:t>
            </w:r>
          </w:p>
        </w:tc>
        <w:tc>
          <w:tcPr>
            <w:tcW w:w="1667" w:type="pct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</w:t>
            </w:r>
            <w:r w:rsidR="00BB57E1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永安</w:t>
            </w: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風味</w:t>
            </w:r>
          </w:p>
        </w:tc>
      </w:tr>
      <w:tr w:rsidR="004450B4" w:rsidRPr="004450B4" w:rsidTr="008046C1">
        <w:tc>
          <w:tcPr>
            <w:tcW w:w="5000" w:type="pct"/>
            <w:gridSpan w:val="4"/>
          </w:tcPr>
          <w:p w:rsidR="00E93445" w:rsidRPr="004450B4" w:rsidRDefault="00E93445" w:rsidP="008046C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住宿：准★★★★★</w:t>
            </w:r>
            <w:proofErr w:type="gramStart"/>
            <w:r w:rsidR="00BB57E1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永安燕江酒店</w:t>
            </w:r>
            <w:proofErr w:type="gramEnd"/>
            <w:r w:rsidR="00BB57E1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或萬佳國際酒店或同級</w:t>
            </w:r>
          </w:p>
        </w:tc>
      </w:tr>
    </w:tbl>
    <w:p w:rsidR="00597801" w:rsidRPr="004450B4" w:rsidRDefault="00BB57E1" w:rsidP="0077274F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 xml:space="preserve">永安 </w:t>
      </w:r>
      <w:proofErr w:type="gramStart"/>
      <w:r w:rsidRPr="004450B4">
        <w:rPr>
          <w:rFonts w:ascii="標楷體" w:eastAsia="標楷體" w:hAnsi="標楷體" w:cs="Arial"/>
          <w:b/>
          <w:bCs/>
          <w:w w:val="95"/>
          <w:sz w:val="28"/>
          <w:szCs w:val="28"/>
        </w:rPr>
        <w:t>–</w:t>
      </w:r>
      <w:proofErr w:type="gramEnd"/>
      <w:r w:rsidRPr="004450B4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 xml:space="preserve"> 廈門 </w:t>
      </w:r>
      <w:proofErr w:type="gramStart"/>
      <w:r w:rsidRPr="004450B4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靈玲馬戲</w:t>
      </w:r>
      <w:proofErr w:type="gramEnd"/>
      <w:r w:rsidRPr="004450B4">
        <w:rPr>
          <w:rFonts w:ascii="標楷體" w:eastAsia="標楷體" w:hAnsi="標楷體" w:cs="Arial" w:hint="eastAsia"/>
          <w:b/>
          <w:bCs/>
          <w:w w:val="95"/>
          <w:sz w:val="28"/>
          <w:szCs w:val="28"/>
        </w:rPr>
        <w:t>表演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956"/>
        <w:gridCol w:w="4435"/>
        <w:gridCol w:w="3751"/>
      </w:tblGrid>
      <w:tr w:rsidR="004450B4" w:rsidRPr="004450B4" w:rsidTr="000B1F39">
        <w:tc>
          <w:tcPr>
            <w:tcW w:w="840" w:type="pct"/>
          </w:tcPr>
          <w:p w:rsidR="00440ACD" w:rsidRPr="004450B4" w:rsidRDefault="00F35F1E" w:rsidP="00F35F1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【</w:t>
            </w:r>
            <w:r w:rsidR="00BB57E1"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靈玲馬戲表演</w:t>
            </w:r>
            <w:r w:rsidRPr="004450B4">
              <w:rPr>
                <w:rFonts w:ascii="標楷體" w:eastAsia="標楷體" w:hAnsi="標楷體" w:cs="Arial" w:hint="eastAsia"/>
                <w:b/>
                <w:bCs/>
                <w:w w:val="90"/>
                <w:szCs w:val="24"/>
              </w:rPr>
              <w:t>】</w:t>
            </w:r>
          </w:p>
        </w:tc>
        <w:tc>
          <w:tcPr>
            <w:tcW w:w="4160" w:type="pct"/>
            <w:gridSpan w:val="3"/>
          </w:tcPr>
          <w:p w:rsidR="00440ACD" w:rsidRPr="004450B4" w:rsidRDefault="00BB57E1" w:rsidP="00381C12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廈門馬戲場館將適合各種藝術形式的演出需要，是目前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最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專業的複合型國際馬戲場館。廈門馬戲城採用多媒體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數位舞美科技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和十多種舞臺模式，安排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400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多名國外馬戲表演人員和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600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多隻訓練有素的飛禽走獸、珍奇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異獸同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台演出</w:t>
            </w:r>
            <w:r w:rsidRPr="004450B4">
              <w:rPr>
                <w:rFonts w:ascii="標楷體" w:eastAsia="標楷體" w:hAnsi="標楷體" w:cs="Arial"/>
                <w:bCs/>
                <w:szCs w:val="24"/>
              </w:rPr>
              <w:t>,</w:t>
            </w: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觀眾們將欣賞到國際水準最高的馬戲表演。</w:t>
            </w:r>
          </w:p>
        </w:tc>
      </w:tr>
      <w:tr w:rsidR="004450B4" w:rsidRPr="004450B4" w:rsidTr="000B1F39">
        <w:tc>
          <w:tcPr>
            <w:tcW w:w="1275" w:type="pct"/>
            <w:gridSpan w:val="2"/>
          </w:tcPr>
          <w:p w:rsidR="00FC021A" w:rsidRPr="004450B4" w:rsidRDefault="00FC021A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早餐：酒店內</w:t>
            </w:r>
          </w:p>
        </w:tc>
        <w:tc>
          <w:tcPr>
            <w:tcW w:w="2018" w:type="pct"/>
          </w:tcPr>
          <w:p w:rsidR="00FC021A" w:rsidRPr="004450B4" w:rsidRDefault="00FC021A" w:rsidP="00E9344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E93445" w:rsidRPr="004450B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042AB5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客家風味</w:t>
            </w:r>
          </w:p>
        </w:tc>
        <w:tc>
          <w:tcPr>
            <w:tcW w:w="1707" w:type="pct"/>
          </w:tcPr>
          <w:p w:rsidR="00FC021A" w:rsidRPr="004450B4" w:rsidRDefault="00FC021A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</w:t>
            </w:r>
            <w:r w:rsidR="00042AB5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中式合菜</w:t>
            </w:r>
          </w:p>
        </w:tc>
      </w:tr>
      <w:tr w:rsidR="004450B4" w:rsidRPr="004450B4" w:rsidTr="000B1F39">
        <w:tc>
          <w:tcPr>
            <w:tcW w:w="5000" w:type="pct"/>
            <w:gridSpan w:val="4"/>
          </w:tcPr>
          <w:p w:rsidR="00FC021A" w:rsidRPr="004450B4" w:rsidRDefault="00FC021A" w:rsidP="000B1F39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</w:t>
            </w:r>
            <w:r w:rsidR="00042AB5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廈門最新</w:t>
            </w:r>
            <w:r w:rsidR="00F4689C">
              <w:rPr>
                <w:rFonts w:ascii="標楷體" w:eastAsia="標楷體" w:hAnsi="標楷體" w:hint="eastAsia"/>
                <w:b/>
                <w:sz w:val="28"/>
                <w:szCs w:val="28"/>
              </w:rPr>
              <w:t>保證入住</w:t>
            </w: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★★★★★</w:t>
            </w:r>
            <w:r w:rsidR="00042AB5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靈玲大酒店馬戲主題房</w:t>
            </w:r>
          </w:p>
        </w:tc>
      </w:tr>
    </w:tbl>
    <w:p w:rsidR="00310A41" w:rsidRPr="004450B4" w:rsidRDefault="00416C18" w:rsidP="00416C18">
      <w:pPr>
        <w:spacing w:line="300" w:lineRule="exact"/>
        <w:rPr>
          <w:rFonts w:ascii="標楷體" w:eastAsia="標楷體" w:hAnsi="標楷體" w:cs="Arial"/>
          <w:b/>
          <w:bCs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lastRenderedPageBreak/>
        <w:t xml:space="preserve">第四天 </w:t>
      </w:r>
      <w:r w:rsidR="00310A4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</w:t>
      </w:r>
      <w:r w:rsidR="0059780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廈門</w:t>
      </w:r>
      <w:r w:rsidR="00F16984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310A4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集美學村外觀+龍舟池、五</w:t>
      </w:r>
      <w:proofErr w:type="gramStart"/>
      <w:r w:rsidR="00310A4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緣灣濕地</w:t>
      </w:r>
      <w:proofErr w:type="gramEnd"/>
      <w:r w:rsidR="00310A4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公園+海上棧道</w:t>
      </w:r>
    </w:p>
    <w:p w:rsidR="00597801" w:rsidRPr="004450B4" w:rsidRDefault="00310A41" w:rsidP="004450B4">
      <w:pPr>
        <w:spacing w:line="300" w:lineRule="exact"/>
        <w:rPr>
          <w:rFonts w:ascii="標楷體" w:eastAsia="標楷體" w:hAnsi="標楷體" w:cs="Arial"/>
          <w:b/>
          <w:bCs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       </w:t>
      </w:r>
      <w:proofErr w:type="gramStart"/>
      <w:r w:rsidR="006F5C27" w:rsidRPr="004450B4">
        <w:rPr>
          <w:rFonts w:ascii="標楷體" w:eastAsia="標楷體" w:hAnsi="標楷體" w:cs="Arial"/>
          <w:b/>
          <w:bCs/>
          <w:sz w:val="28"/>
          <w:szCs w:val="28"/>
        </w:rPr>
        <w:t>–</w:t>
      </w:r>
      <w:proofErr w:type="gramEnd"/>
      <w:r w:rsidR="006F5C27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泉州 晉江五店市傳統街區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378"/>
        <w:gridCol w:w="4099"/>
        <w:gridCol w:w="3663"/>
      </w:tblGrid>
      <w:tr w:rsidR="004450B4" w:rsidRPr="004450B4" w:rsidTr="00027432">
        <w:tc>
          <w:tcPr>
            <w:tcW w:w="841" w:type="pct"/>
          </w:tcPr>
          <w:p w:rsidR="00310A41" w:rsidRPr="004450B4" w:rsidRDefault="00310A41" w:rsidP="00027432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proofErr w:type="gramEnd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集美學村外觀  </w:t>
            </w:r>
          </w:p>
          <w:p w:rsidR="00310A41" w:rsidRPr="004450B4" w:rsidRDefault="00310A41" w:rsidP="00027432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    +龍舟池</w:t>
            </w: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310A41" w:rsidRPr="004450B4" w:rsidRDefault="00310A41" w:rsidP="00027432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光陰荏苒，歷經了近百年的風霜的集美學村在今日依然以其無與倫比的魅力、高雅壯麗的雄姿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聳峙在祖國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的東南海疆，繼續傳承陳嘉庚先生的教育理想，發揮其文化教育重鎮的巨大作用。【龍舟池】是陳嘉庚先生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于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1950年在集美海灘上築堤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圍墾外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、中、內三池。</w:t>
            </w:r>
          </w:p>
        </w:tc>
      </w:tr>
      <w:tr w:rsidR="004450B4" w:rsidRPr="004450B4" w:rsidTr="000B1F39">
        <w:tc>
          <w:tcPr>
            <w:tcW w:w="841" w:type="pct"/>
          </w:tcPr>
          <w:p w:rsidR="00F16984" w:rsidRPr="004450B4" w:rsidRDefault="00F16984" w:rsidP="00431117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proofErr w:type="gramEnd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五緣灣</w:t>
            </w:r>
          </w:p>
          <w:p w:rsidR="00F16984" w:rsidRPr="004450B4" w:rsidRDefault="00F16984" w:rsidP="00431117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  濕地公園</w:t>
            </w:r>
          </w:p>
          <w:p w:rsidR="00F16984" w:rsidRPr="004450B4" w:rsidRDefault="00F16984" w:rsidP="00431117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   +海上棧道</w:t>
            </w: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F16984" w:rsidRPr="004450B4" w:rsidRDefault="00F16984" w:rsidP="00431117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占地85公頃面積相當於半個鼓浪嶼，擁有廈門島內唯一的、最獨特的濕地資源，濕地公園內風景旖旎的水上木棧道平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臺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和</w:t>
            </w:r>
            <w:proofErr w:type="gramStart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木棧道</w:t>
            </w:r>
            <w:proofErr w:type="gramEnd"/>
            <w:r w:rsidRPr="004450B4">
              <w:rPr>
                <w:rFonts w:ascii="標楷體" w:eastAsia="標楷體" w:hAnsi="標楷體" w:cs="Arial" w:hint="eastAsia"/>
                <w:bCs/>
                <w:szCs w:val="24"/>
              </w:rPr>
              <w:t>走廊，有廈門規模最大的香草種植園，唯一的木棧道迷宮，漫步在木棧道上看湖上蘆葦飄搖、睡蓮盛開。</w:t>
            </w:r>
          </w:p>
        </w:tc>
      </w:tr>
      <w:tr w:rsidR="004450B4" w:rsidRPr="004450B4" w:rsidTr="000B1F39">
        <w:tc>
          <w:tcPr>
            <w:tcW w:w="841" w:type="pct"/>
          </w:tcPr>
          <w:p w:rsidR="006F5C27" w:rsidRPr="004450B4" w:rsidRDefault="00D174FB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proofErr w:type="gramStart"/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【</w:t>
            </w:r>
            <w:proofErr w:type="gramEnd"/>
            <w:r w:rsidR="006F5C27"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江五店市</w:t>
            </w:r>
          </w:p>
          <w:p w:rsidR="00D174FB" w:rsidRPr="004450B4" w:rsidRDefault="006F5C27">
            <w:pPr>
              <w:spacing w:line="0" w:lineRule="atLeast"/>
              <w:rPr>
                <w:rFonts w:ascii="標楷體" w:eastAsia="標楷體" w:hAnsi="標楷體" w:cs="Arial"/>
                <w:b/>
                <w:bCs/>
                <w:w w:val="95"/>
                <w:szCs w:val="24"/>
              </w:rPr>
            </w:pPr>
            <w:r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 xml:space="preserve">    傳統街區</w:t>
            </w:r>
            <w:proofErr w:type="gramStart"/>
            <w:r w:rsidR="00D174FB" w:rsidRPr="004450B4">
              <w:rPr>
                <w:rFonts w:ascii="標楷體" w:eastAsia="標楷體" w:hAnsi="標楷體" w:cs="Arial" w:hint="eastAsia"/>
                <w:b/>
                <w:bCs/>
                <w:w w:val="95"/>
                <w:szCs w:val="24"/>
              </w:rPr>
              <w:t>】</w:t>
            </w:r>
            <w:proofErr w:type="gramEnd"/>
          </w:p>
        </w:tc>
        <w:tc>
          <w:tcPr>
            <w:tcW w:w="4159" w:type="pct"/>
            <w:gridSpan w:val="3"/>
          </w:tcPr>
          <w:p w:rsidR="00D174FB" w:rsidRPr="004450B4" w:rsidRDefault="001D6C05">
            <w:pPr>
              <w:spacing w:line="0" w:lineRule="atLeast"/>
              <w:rPr>
                <w:rFonts w:ascii="標楷體" w:eastAsia="標楷體" w:hAnsi="標楷體" w:cs="Arial"/>
                <w:bCs/>
                <w:szCs w:val="24"/>
              </w:rPr>
            </w:pPr>
            <w:hyperlink r:id="rId21" w:tgtFrame="_blank" w:history="1">
              <w:r w:rsidR="006F5C27" w:rsidRPr="004450B4">
                <w:rPr>
                  <w:rFonts w:ascii="標楷體" w:eastAsia="標楷體" w:hAnsi="標楷體" w:hint="eastAsia"/>
                  <w:bCs/>
                  <w:szCs w:val="24"/>
                </w:rPr>
                <w:t>晉江</w:t>
              </w:r>
            </w:hyperlink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五店市傳統街區位於晉</w:t>
            </w:r>
            <w:proofErr w:type="gramStart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江老城區青陽</w:t>
            </w:r>
            <w:proofErr w:type="gramEnd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的核心區，緊</w:t>
            </w:r>
            <w:proofErr w:type="gramStart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挨塘岸街</w:t>
            </w:r>
            <w:proofErr w:type="gramEnd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，毗鄰</w:t>
            </w:r>
            <w:hyperlink r:id="rId22" w:tgtFrame="_blank" w:history="1">
              <w:r w:rsidR="006F5C27" w:rsidRPr="004450B4">
                <w:rPr>
                  <w:rFonts w:ascii="標楷體" w:eastAsia="標楷體" w:hAnsi="標楷體" w:hint="eastAsia"/>
                  <w:bCs/>
                  <w:szCs w:val="24"/>
                </w:rPr>
                <w:t>世紀大道</w:t>
              </w:r>
            </w:hyperlink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，</w:t>
            </w:r>
            <w:proofErr w:type="gramStart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背靠青梅</w:t>
            </w:r>
            <w:proofErr w:type="gramEnd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山，與</w:t>
            </w:r>
            <w:hyperlink r:id="rId23" w:tgtFrame="_blank" w:history="1">
              <w:r w:rsidR="006F5C27" w:rsidRPr="004450B4">
                <w:rPr>
                  <w:rFonts w:ascii="標楷體" w:eastAsia="標楷體" w:hAnsi="標楷體" w:hint="eastAsia"/>
                  <w:bCs/>
                  <w:szCs w:val="24"/>
                </w:rPr>
                <w:t>晉江萬達廣場</w:t>
              </w:r>
            </w:hyperlink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相連，和</w:t>
            </w:r>
            <w:proofErr w:type="gramStart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敏月</w:t>
            </w:r>
            <w:proofErr w:type="gramEnd"/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公園相望；占地</w:t>
            </w:r>
            <w:r w:rsidR="006F5C27" w:rsidRPr="004450B4">
              <w:rPr>
                <w:rFonts w:ascii="標楷體" w:eastAsia="標楷體" w:hAnsi="標楷體" w:cs="Arial"/>
                <w:bCs/>
                <w:szCs w:val="24"/>
              </w:rPr>
              <w:t>126</w:t>
            </w:r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畝。該街區獨具閩南特色的</w:t>
            </w:r>
            <w:r w:rsidR="006F5C27" w:rsidRPr="004450B4">
              <w:rPr>
                <w:rFonts w:ascii="標楷體" w:eastAsia="標楷體" w:hAnsi="標楷體" w:cs="Arial"/>
                <w:bCs/>
                <w:szCs w:val="24"/>
              </w:rPr>
              <w:t>“</w:t>
            </w:r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皇宮起</w:t>
            </w:r>
            <w:r w:rsidR="006F5C27" w:rsidRPr="004450B4">
              <w:rPr>
                <w:rFonts w:ascii="標楷體" w:eastAsia="標楷體" w:hAnsi="標楷體" w:cs="Arial"/>
                <w:bCs/>
                <w:szCs w:val="24"/>
              </w:rPr>
              <w:t>”</w:t>
            </w:r>
            <w:r w:rsidR="006F5C27" w:rsidRPr="004450B4">
              <w:rPr>
                <w:rFonts w:ascii="標楷體" w:eastAsia="標楷體" w:hAnsi="標楷體" w:cs="Arial" w:hint="eastAsia"/>
                <w:bCs/>
                <w:szCs w:val="24"/>
              </w:rPr>
              <w:t>紅磚建築、中西合璧的洋樓等明清、民國至現代的特色建築保存完好。</w:t>
            </w:r>
          </w:p>
        </w:tc>
      </w:tr>
      <w:tr w:rsidR="004450B4" w:rsidRPr="004450B4" w:rsidTr="000B1F39">
        <w:tc>
          <w:tcPr>
            <w:tcW w:w="1468" w:type="pct"/>
            <w:gridSpan w:val="2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早餐：酒店內</w:t>
            </w:r>
          </w:p>
        </w:tc>
        <w:tc>
          <w:tcPr>
            <w:tcW w:w="1865" w:type="pct"/>
          </w:tcPr>
          <w:p w:rsidR="00597801" w:rsidRPr="004450B4" w:rsidRDefault="00597801" w:rsidP="009A7A2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</w:t>
            </w:r>
            <w:r w:rsidR="006F5C27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中式合菜</w:t>
            </w:r>
          </w:p>
        </w:tc>
        <w:tc>
          <w:tcPr>
            <w:tcW w:w="1667" w:type="pct"/>
          </w:tcPr>
          <w:p w:rsidR="00597801" w:rsidRPr="004450B4" w:rsidRDefault="006F5C27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晚餐：閩南</w:t>
            </w:r>
            <w:r w:rsidR="00597801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風味</w:t>
            </w:r>
          </w:p>
        </w:tc>
      </w:tr>
      <w:tr w:rsidR="004450B4" w:rsidRPr="004450B4" w:rsidTr="000B1F39">
        <w:tc>
          <w:tcPr>
            <w:tcW w:w="5000" w:type="pct"/>
            <w:gridSpan w:val="4"/>
          </w:tcPr>
          <w:p w:rsidR="00597801" w:rsidRPr="004450B4" w:rsidRDefault="00597801" w:rsidP="006F5C27">
            <w:pPr>
              <w:spacing w:line="0" w:lineRule="atLeast"/>
              <w:rPr>
                <w:rFonts w:ascii="標楷體" w:eastAsia="標楷體" w:hAnsi="標楷體"/>
                <w:b/>
                <w:w w:val="85"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住宿：★★★★★</w:t>
            </w:r>
            <w:proofErr w:type="gramStart"/>
            <w:r w:rsidR="006F5C27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泉州泉商希爾頓酒店</w:t>
            </w:r>
            <w:proofErr w:type="gramEnd"/>
            <w:r w:rsidR="006F5C27"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或同級</w:t>
            </w:r>
          </w:p>
        </w:tc>
      </w:tr>
    </w:tbl>
    <w:p w:rsidR="00597801" w:rsidRPr="004450B4" w:rsidRDefault="00416C18" w:rsidP="00416C18">
      <w:pPr>
        <w:spacing w:line="300" w:lineRule="exact"/>
        <w:rPr>
          <w:rFonts w:ascii="標楷體" w:eastAsia="標楷體" w:hAnsi="標楷體" w:cs="Arial"/>
          <w:b/>
          <w:bCs/>
          <w:sz w:val="28"/>
          <w:szCs w:val="28"/>
        </w:rPr>
      </w:pPr>
      <w:r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第五天 </w:t>
      </w:r>
      <w:r w:rsidR="0059780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6F5C27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泉州 </w:t>
      </w:r>
      <w:proofErr w:type="gramStart"/>
      <w:r w:rsidR="006F5C27" w:rsidRPr="004450B4">
        <w:rPr>
          <w:rFonts w:ascii="標楷體" w:eastAsia="標楷體" w:hAnsi="標楷體" w:cs="Arial"/>
          <w:b/>
          <w:bCs/>
          <w:sz w:val="28"/>
          <w:szCs w:val="28"/>
        </w:rPr>
        <w:t>–</w:t>
      </w:r>
      <w:proofErr w:type="gramEnd"/>
      <w:r w:rsidR="006F5C27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福州</w:t>
      </w:r>
      <w:r w:rsidR="00597801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</w:t>
      </w:r>
      <w:r w:rsidR="00597801" w:rsidRPr="004450B4">
        <w:rPr>
          <w:rFonts w:ascii="標楷體" w:eastAsia="標楷體" w:hAnsi="標楷體" w:cs="Arial"/>
          <w:b/>
          <w:bCs/>
          <w:sz w:val="28"/>
          <w:szCs w:val="28"/>
        </w:rPr>
        <w:t>/</w:t>
      </w:r>
      <w:r w:rsidR="00D0363F" w:rsidRPr="004450B4">
        <w:rPr>
          <w:rFonts w:ascii="標楷體" w:eastAsia="標楷體" w:hAnsi="標楷體" w:cs="Arial" w:hint="eastAsia"/>
          <w:b/>
          <w:bCs/>
          <w:sz w:val="28"/>
          <w:szCs w:val="28"/>
        </w:rPr>
        <w:t>松山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4450B4" w:rsidRPr="004450B4" w:rsidTr="000B1F39">
        <w:tc>
          <w:tcPr>
            <w:tcW w:w="1666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早餐：酒店內</w:t>
            </w:r>
          </w:p>
        </w:tc>
        <w:tc>
          <w:tcPr>
            <w:tcW w:w="1667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午餐：X</w:t>
            </w:r>
          </w:p>
        </w:tc>
        <w:tc>
          <w:tcPr>
            <w:tcW w:w="1667" w:type="pct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晚餐：X</w:t>
            </w:r>
          </w:p>
        </w:tc>
      </w:tr>
      <w:tr w:rsidR="004450B4" w:rsidRPr="004450B4" w:rsidTr="000B1F39">
        <w:tc>
          <w:tcPr>
            <w:tcW w:w="5000" w:type="pct"/>
            <w:gridSpan w:val="3"/>
          </w:tcPr>
          <w:p w:rsidR="00597801" w:rsidRPr="004450B4" w:rsidRDefault="00597801" w:rsidP="000B1F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0B4">
              <w:rPr>
                <w:rFonts w:ascii="標楷體" w:eastAsia="標楷體" w:hAnsi="標楷體" w:hint="eastAsia"/>
                <w:b/>
                <w:sz w:val="28"/>
                <w:szCs w:val="28"/>
              </w:rPr>
              <w:t>住宿：溫暖的家</w:t>
            </w:r>
          </w:p>
        </w:tc>
      </w:tr>
    </w:tbl>
    <w:p w:rsidR="00597801" w:rsidRPr="004450B4" w:rsidRDefault="00597801" w:rsidP="00597801">
      <w:pPr>
        <w:spacing w:line="240" w:lineRule="exact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【備註】</w:t>
      </w:r>
    </w:p>
    <w:p w:rsidR="00597801" w:rsidRPr="004450B4" w:rsidRDefault="004450B4" w:rsidP="00002ECB">
      <w:pPr>
        <w:spacing w:line="280" w:lineRule="exact"/>
        <w:rPr>
          <w:rFonts w:ascii="標楷體" w:eastAsia="標楷體" w:hAnsi="標楷體" w:cs="Arial"/>
          <w:bCs/>
          <w:sz w:val="22"/>
        </w:rPr>
      </w:pPr>
      <w:r w:rsidRPr="004450B4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1.行程請以當地旅行社安排為主，可能會出現順序調換，但保證不會影響行程內容！</w:t>
      </w:r>
      <w:r w:rsidR="006C2F86" w:rsidRPr="004450B4">
        <w:rPr>
          <w:rFonts w:ascii="標楷體" w:eastAsia="標楷體" w:hAnsi="標楷體" w:cs="Arial"/>
          <w:bCs/>
          <w:sz w:val="22"/>
        </w:rPr>
        <w:t xml:space="preserve"> </w:t>
      </w:r>
      <w:r w:rsidRPr="004450B4">
        <w:rPr>
          <w:rFonts w:ascii="標楷體" w:eastAsia="標楷體" w:hAnsi="標楷體" w:cs="Arial"/>
          <w:bCs/>
          <w:sz w:val="22"/>
        </w:rPr>
        <w:t xml:space="preserve"> </w:t>
      </w:r>
    </w:p>
    <w:p w:rsidR="00597801" w:rsidRPr="004450B4" w:rsidRDefault="004450B4" w:rsidP="00597801">
      <w:pPr>
        <w:spacing w:line="240" w:lineRule="exact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 xml:space="preserve"> 2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.以上優惠報價，需全程隨團，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並團進團出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，恕無法</w:t>
      </w:r>
      <w:bookmarkStart w:id="0" w:name="_GoBack"/>
      <w:bookmarkEnd w:id="0"/>
      <w:r w:rsidR="00597801" w:rsidRPr="004450B4">
        <w:rPr>
          <w:rFonts w:ascii="標楷體" w:eastAsia="標楷體" w:hAnsi="標楷體" w:cs="Arial" w:hint="eastAsia"/>
          <w:bCs/>
          <w:sz w:val="22"/>
        </w:rPr>
        <w:t>接受中途脫隊要求。</w:t>
      </w:r>
    </w:p>
    <w:p w:rsidR="00597801" w:rsidRPr="004450B4" w:rsidRDefault="004450B4" w:rsidP="00577AA6">
      <w:pPr>
        <w:spacing w:line="240" w:lineRule="exact"/>
        <w:ind w:firstLineChars="50" w:firstLine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3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.團費已攤分65歲以上老人、12歲以下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小孩優票費用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，若有產生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價差恕不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退還。</w:t>
      </w:r>
    </w:p>
    <w:p w:rsidR="00597801" w:rsidRPr="004450B4" w:rsidRDefault="004450B4" w:rsidP="00577AA6">
      <w:pPr>
        <w:spacing w:line="240" w:lineRule="exact"/>
        <w:ind w:firstLineChars="50" w:firstLine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標楷體" w:eastAsia="標楷體" w:hAnsi="標楷體" w:cs="Arial" w:hint="eastAsia"/>
          <w:bCs/>
          <w:sz w:val="22"/>
        </w:rPr>
        <w:t>4</w:t>
      </w:r>
      <w:r w:rsidR="00597801" w:rsidRPr="004450B4">
        <w:rPr>
          <w:rFonts w:ascii="標楷體" w:eastAsia="標楷體" w:hAnsi="標楷體" w:cs="Arial" w:hint="eastAsia"/>
          <w:bCs/>
          <w:sz w:val="22"/>
        </w:rPr>
        <w:t>.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航班恕無法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指定，以本公司取得之機位為</w:t>
      </w:r>
      <w:proofErr w:type="gramStart"/>
      <w:r w:rsidR="00597801" w:rsidRPr="004450B4">
        <w:rPr>
          <w:rFonts w:ascii="標楷體" w:eastAsia="標楷體" w:hAnsi="標楷體" w:cs="Arial" w:hint="eastAsia"/>
          <w:bCs/>
          <w:sz w:val="22"/>
        </w:rPr>
        <w:t>準</w:t>
      </w:r>
      <w:proofErr w:type="gramEnd"/>
      <w:r w:rsidR="00597801" w:rsidRPr="004450B4">
        <w:rPr>
          <w:rFonts w:ascii="標楷體" w:eastAsia="標楷體" w:hAnsi="標楷體" w:cs="Arial" w:hint="eastAsia"/>
          <w:bCs/>
          <w:sz w:val="22"/>
        </w:rPr>
        <w:t>。</w:t>
      </w:r>
    </w:p>
    <w:p w:rsidR="000842D5" w:rsidRPr="004450B4" w:rsidRDefault="000842D5" w:rsidP="000842D5">
      <w:pPr>
        <w:adjustRightInd w:val="0"/>
        <w:snapToGrid w:val="0"/>
        <w:ind w:firstLineChars="50" w:firstLine="110"/>
        <w:rPr>
          <w:rFonts w:ascii="細明體" w:eastAsia="細明體" w:hAnsi="細明體"/>
          <w:sz w:val="22"/>
        </w:rPr>
      </w:pPr>
      <w:r w:rsidRPr="004450B4">
        <w:rPr>
          <w:rFonts w:ascii="細明體" w:eastAsia="細明體" w:hAnsi="細明體" w:hint="eastAsia"/>
          <w:sz w:val="22"/>
        </w:rPr>
        <w:t>※如因航空公司航班調度，導致起飛或降落時間變動，則本公司</w:t>
      </w:r>
      <w:proofErr w:type="gramStart"/>
      <w:r w:rsidRPr="004450B4">
        <w:rPr>
          <w:rFonts w:ascii="細明體" w:eastAsia="細明體" w:hAnsi="細明體" w:hint="eastAsia"/>
          <w:sz w:val="22"/>
        </w:rPr>
        <w:t>保留更餐食</w:t>
      </w:r>
      <w:proofErr w:type="gramEnd"/>
      <w:r w:rsidRPr="004450B4">
        <w:rPr>
          <w:rFonts w:ascii="細明體" w:eastAsia="細明體" w:hAnsi="細明體" w:hint="eastAsia"/>
          <w:sz w:val="22"/>
        </w:rPr>
        <w:t>之權利，敬請旅客見諒。</w:t>
      </w:r>
    </w:p>
    <w:p w:rsidR="000842D5" w:rsidRPr="004450B4" w:rsidRDefault="000842D5" w:rsidP="000842D5">
      <w:pPr>
        <w:spacing w:line="240" w:lineRule="exact"/>
        <w:ind w:leftChars="46" w:left="110"/>
        <w:rPr>
          <w:rFonts w:ascii="標楷體" w:eastAsia="標楷體" w:hAnsi="標楷體" w:cs="Arial"/>
          <w:bCs/>
          <w:sz w:val="22"/>
        </w:rPr>
      </w:pPr>
      <w:r w:rsidRPr="004450B4">
        <w:rPr>
          <w:rFonts w:ascii="細明體" w:eastAsia="細明體" w:hAnsi="細明體" w:hint="eastAsia"/>
          <w:sz w:val="22"/>
        </w:rPr>
        <w:t>※如貴賓為單1人報名時，若經旅行社協助配對卻無法</w:t>
      </w:r>
      <w:proofErr w:type="gramStart"/>
      <w:r w:rsidRPr="004450B4">
        <w:rPr>
          <w:rFonts w:ascii="細明體" w:eastAsia="細明體" w:hAnsi="細明體" w:hint="eastAsia"/>
          <w:sz w:val="22"/>
        </w:rPr>
        <w:t>覓得合住的</w:t>
      </w:r>
      <w:proofErr w:type="gramEnd"/>
      <w:r w:rsidRPr="004450B4">
        <w:rPr>
          <w:rFonts w:ascii="細明體" w:eastAsia="細明體" w:hAnsi="細明體" w:hint="eastAsia"/>
          <w:sz w:val="22"/>
        </w:rPr>
        <w:t>同性旅客時，則需另補單人房差額，差額視住宿飯店之不同由旅行社另行報價，敬請了解並見諒，謝謝!</w:t>
      </w:r>
    </w:p>
    <w:sectPr w:rsidR="000842D5" w:rsidRPr="004450B4" w:rsidSect="003526CA">
      <w:headerReference w:type="even" r:id="rId24"/>
      <w:headerReference w:type="default" r:id="rId25"/>
      <w:headerReference w:type="first" r:id="rId26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05" w:rsidRDefault="001D6C05" w:rsidP="00E34B2D">
      <w:r>
        <w:separator/>
      </w:r>
    </w:p>
  </w:endnote>
  <w:endnote w:type="continuationSeparator" w:id="0">
    <w:p w:rsidR="001D6C05" w:rsidRDefault="001D6C05" w:rsidP="00E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05" w:rsidRDefault="001D6C05" w:rsidP="00E34B2D">
      <w:r>
        <w:separator/>
      </w:r>
    </w:p>
  </w:footnote>
  <w:footnote w:type="continuationSeparator" w:id="0">
    <w:p w:rsidR="001D6C05" w:rsidRDefault="001D6C05" w:rsidP="00E3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CA" w:rsidRDefault="001D6C0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0" o:spid="_x0000_s2050" type="#_x0000_t75" style="position:absolute;margin-left:0;margin-top:0;width:538.45pt;height:444.05pt;z-index:-251655168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CA" w:rsidRDefault="001D6C0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61" o:spid="_x0000_s2051" type="#_x0000_t75" style="position:absolute;margin-left:0;margin-top:0;width:538.45pt;height:444.05pt;z-index:-251654144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CA" w:rsidRDefault="001D6C0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1359" o:spid="_x0000_s2049" type="#_x0000_t75" style="position:absolute;margin-left:0;margin-top:0;width:538.45pt;height:444.05pt;z-index:-251656192;mso-position-horizontal:center;mso-position-horizontal-relative:margin;mso-position-vertical:center;mso-position-vertical-relative:margin" o:allowincell="f">
          <v:imagedata r:id="rId1" o:title="逸歡旅遊LOGO白邊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BA9"/>
    <w:multiLevelType w:val="hybridMultilevel"/>
    <w:tmpl w:val="6BE21FC0"/>
    <w:lvl w:ilvl="0" w:tplc="74AA05E0">
      <w:start w:val="1"/>
      <w:numFmt w:val="taiwaneseCountingThousand"/>
      <w:lvlText w:val="第%1天"/>
      <w:lvlJc w:val="left"/>
      <w:pPr>
        <w:ind w:left="1140" w:hanging="11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DD2312"/>
    <w:multiLevelType w:val="hybridMultilevel"/>
    <w:tmpl w:val="7A080EBA"/>
    <w:lvl w:ilvl="0" w:tplc="7BE0C0A2">
      <w:start w:val="3"/>
      <w:numFmt w:val="taiwaneseCountingThousand"/>
      <w:lvlText w:val="第%1天"/>
      <w:lvlJc w:val="left"/>
      <w:pPr>
        <w:ind w:left="825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1"/>
    <w:rsid w:val="00002ECB"/>
    <w:rsid w:val="0003550A"/>
    <w:rsid w:val="00042AB5"/>
    <w:rsid w:val="000436D7"/>
    <w:rsid w:val="00054C3F"/>
    <w:rsid w:val="00056D8F"/>
    <w:rsid w:val="000606A1"/>
    <w:rsid w:val="00070227"/>
    <w:rsid w:val="00081787"/>
    <w:rsid w:val="000842D5"/>
    <w:rsid w:val="000C11FE"/>
    <w:rsid w:val="000D106C"/>
    <w:rsid w:val="000F09F7"/>
    <w:rsid w:val="000F13F8"/>
    <w:rsid w:val="00104DE5"/>
    <w:rsid w:val="001065A6"/>
    <w:rsid w:val="00145818"/>
    <w:rsid w:val="001645F5"/>
    <w:rsid w:val="00170A28"/>
    <w:rsid w:val="0019136D"/>
    <w:rsid w:val="001B2900"/>
    <w:rsid w:val="001B6D16"/>
    <w:rsid w:val="001B7DBE"/>
    <w:rsid w:val="001D1AF0"/>
    <w:rsid w:val="001D6C05"/>
    <w:rsid w:val="001E5B9C"/>
    <w:rsid w:val="002067E4"/>
    <w:rsid w:val="00210EC4"/>
    <w:rsid w:val="00216B55"/>
    <w:rsid w:val="00223F67"/>
    <w:rsid w:val="00226C26"/>
    <w:rsid w:val="00235428"/>
    <w:rsid w:val="002357E3"/>
    <w:rsid w:val="00246412"/>
    <w:rsid w:val="0024773F"/>
    <w:rsid w:val="002562CB"/>
    <w:rsid w:val="00262562"/>
    <w:rsid w:val="0027699F"/>
    <w:rsid w:val="0029351B"/>
    <w:rsid w:val="002B6003"/>
    <w:rsid w:val="002B662F"/>
    <w:rsid w:val="002B66BF"/>
    <w:rsid w:val="002C4743"/>
    <w:rsid w:val="002D1163"/>
    <w:rsid w:val="002D570D"/>
    <w:rsid w:val="002F2AE9"/>
    <w:rsid w:val="00301425"/>
    <w:rsid w:val="00302069"/>
    <w:rsid w:val="00307E46"/>
    <w:rsid w:val="00310A41"/>
    <w:rsid w:val="00317DCD"/>
    <w:rsid w:val="00322CEB"/>
    <w:rsid w:val="003272ED"/>
    <w:rsid w:val="003416DE"/>
    <w:rsid w:val="00350A1A"/>
    <w:rsid w:val="00354920"/>
    <w:rsid w:val="0036286C"/>
    <w:rsid w:val="00371B62"/>
    <w:rsid w:val="00381C12"/>
    <w:rsid w:val="00384C10"/>
    <w:rsid w:val="003979D3"/>
    <w:rsid w:val="003B6916"/>
    <w:rsid w:val="003D0C32"/>
    <w:rsid w:val="003D1949"/>
    <w:rsid w:val="003E30F3"/>
    <w:rsid w:val="00407701"/>
    <w:rsid w:val="00410949"/>
    <w:rsid w:val="00411EBE"/>
    <w:rsid w:val="00416C18"/>
    <w:rsid w:val="0042418C"/>
    <w:rsid w:val="00440ACD"/>
    <w:rsid w:val="004450B4"/>
    <w:rsid w:val="00462981"/>
    <w:rsid w:val="0047035B"/>
    <w:rsid w:val="00477AA8"/>
    <w:rsid w:val="00487A3F"/>
    <w:rsid w:val="00487F86"/>
    <w:rsid w:val="004A1066"/>
    <w:rsid w:val="004A691F"/>
    <w:rsid w:val="004C2B86"/>
    <w:rsid w:val="004C6BC5"/>
    <w:rsid w:val="004C6F12"/>
    <w:rsid w:val="004D3EA4"/>
    <w:rsid w:val="004E2A6C"/>
    <w:rsid w:val="004F756C"/>
    <w:rsid w:val="005020B5"/>
    <w:rsid w:val="00517C85"/>
    <w:rsid w:val="00520164"/>
    <w:rsid w:val="00521D67"/>
    <w:rsid w:val="0053501E"/>
    <w:rsid w:val="005370B0"/>
    <w:rsid w:val="00555762"/>
    <w:rsid w:val="00556F17"/>
    <w:rsid w:val="00557FA3"/>
    <w:rsid w:val="00560C79"/>
    <w:rsid w:val="00566AB8"/>
    <w:rsid w:val="00576A30"/>
    <w:rsid w:val="00577AA6"/>
    <w:rsid w:val="00597801"/>
    <w:rsid w:val="005A3DC6"/>
    <w:rsid w:val="005A550B"/>
    <w:rsid w:val="005B0DB0"/>
    <w:rsid w:val="005B1618"/>
    <w:rsid w:val="005C48C5"/>
    <w:rsid w:val="005D2FF1"/>
    <w:rsid w:val="005E30B5"/>
    <w:rsid w:val="005F30DE"/>
    <w:rsid w:val="005F492B"/>
    <w:rsid w:val="005F52B6"/>
    <w:rsid w:val="006014AF"/>
    <w:rsid w:val="00615A6B"/>
    <w:rsid w:val="00633447"/>
    <w:rsid w:val="00640002"/>
    <w:rsid w:val="00641EE6"/>
    <w:rsid w:val="00644711"/>
    <w:rsid w:val="006572DE"/>
    <w:rsid w:val="006622F8"/>
    <w:rsid w:val="00684991"/>
    <w:rsid w:val="00687F4A"/>
    <w:rsid w:val="00691072"/>
    <w:rsid w:val="006A100F"/>
    <w:rsid w:val="006C2F86"/>
    <w:rsid w:val="006C5EBC"/>
    <w:rsid w:val="006D5A35"/>
    <w:rsid w:val="006F5C27"/>
    <w:rsid w:val="006F7F3D"/>
    <w:rsid w:val="00702775"/>
    <w:rsid w:val="00721D9F"/>
    <w:rsid w:val="00724B03"/>
    <w:rsid w:val="00725FC6"/>
    <w:rsid w:val="00755739"/>
    <w:rsid w:val="00763E12"/>
    <w:rsid w:val="0076707C"/>
    <w:rsid w:val="0077274F"/>
    <w:rsid w:val="007804EE"/>
    <w:rsid w:val="00790E90"/>
    <w:rsid w:val="00792819"/>
    <w:rsid w:val="00793FBF"/>
    <w:rsid w:val="00795B6D"/>
    <w:rsid w:val="007A5CFD"/>
    <w:rsid w:val="007C7F8F"/>
    <w:rsid w:val="007D7339"/>
    <w:rsid w:val="007F3F0F"/>
    <w:rsid w:val="00826941"/>
    <w:rsid w:val="00826B9E"/>
    <w:rsid w:val="0084079C"/>
    <w:rsid w:val="00851DF1"/>
    <w:rsid w:val="00852199"/>
    <w:rsid w:val="00862D15"/>
    <w:rsid w:val="0086572F"/>
    <w:rsid w:val="00875EEC"/>
    <w:rsid w:val="00876E11"/>
    <w:rsid w:val="00881C08"/>
    <w:rsid w:val="00885618"/>
    <w:rsid w:val="008B1707"/>
    <w:rsid w:val="008C2AF2"/>
    <w:rsid w:val="008C5607"/>
    <w:rsid w:val="008D7FD7"/>
    <w:rsid w:val="008F74BF"/>
    <w:rsid w:val="008F7765"/>
    <w:rsid w:val="009004D5"/>
    <w:rsid w:val="0093778D"/>
    <w:rsid w:val="0094491B"/>
    <w:rsid w:val="0095396D"/>
    <w:rsid w:val="00953DC8"/>
    <w:rsid w:val="0095774F"/>
    <w:rsid w:val="0096571D"/>
    <w:rsid w:val="00972D65"/>
    <w:rsid w:val="00981112"/>
    <w:rsid w:val="00981328"/>
    <w:rsid w:val="00983D6C"/>
    <w:rsid w:val="00992A42"/>
    <w:rsid w:val="009A6CC5"/>
    <w:rsid w:val="009A7A23"/>
    <w:rsid w:val="009B4AB1"/>
    <w:rsid w:val="009C31FE"/>
    <w:rsid w:val="009C3C03"/>
    <w:rsid w:val="009C3EB8"/>
    <w:rsid w:val="009F4936"/>
    <w:rsid w:val="00A167EC"/>
    <w:rsid w:val="00A174BE"/>
    <w:rsid w:val="00A237F0"/>
    <w:rsid w:val="00A468DE"/>
    <w:rsid w:val="00A51E19"/>
    <w:rsid w:val="00A5463F"/>
    <w:rsid w:val="00A547F4"/>
    <w:rsid w:val="00A70AA4"/>
    <w:rsid w:val="00A83203"/>
    <w:rsid w:val="00A87C3E"/>
    <w:rsid w:val="00AC4AA8"/>
    <w:rsid w:val="00AE43E6"/>
    <w:rsid w:val="00AE660D"/>
    <w:rsid w:val="00AF7D3B"/>
    <w:rsid w:val="00B14F3B"/>
    <w:rsid w:val="00B26B38"/>
    <w:rsid w:val="00B44ACB"/>
    <w:rsid w:val="00B569B4"/>
    <w:rsid w:val="00B6569E"/>
    <w:rsid w:val="00B852C2"/>
    <w:rsid w:val="00B91861"/>
    <w:rsid w:val="00BA2E99"/>
    <w:rsid w:val="00BB1BEA"/>
    <w:rsid w:val="00BB57E1"/>
    <w:rsid w:val="00BF054C"/>
    <w:rsid w:val="00BF48FC"/>
    <w:rsid w:val="00BF4C97"/>
    <w:rsid w:val="00C06C92"/>
    <w:rsid w:val="00C25132"/>
    <w:rsid w:val="00C437E2"/>
    <w:rsid w:val="00C701D9"/>
    <w:rsid w:val="00C74B79"/>
    <w:rsid w:val="00C815D8"/>
    <w:rsid w:val="00C93C2F"/>
    <w:rsid w:val="00C97DD4"/>
    <w:rsid w:val="00CB0774"/>
    <w:rsid w:val="00CB4846"/>
    <w:rsid w:val="00CB7E6A"/>
    <w:rsid w:val="00CC0617"/>
    <w:rsid w:val="00CC1ABE"/>
    <w:rsid w:val="00CC5A08"/>
    <w:rsid w:val="00CC7FEF"/>
    <w:rsid w:val="00CC7FF7"/>
    <w:rsid w:val="00CF6E91"/>
    <w:rsid w:val="00D0363F"/>
    <w:rsid w:val="00D07D6B"/>
    <w:rsid w:val="00D174FB"/>
    <w:rsid w:val="00D224EF"/>
    <w:rsid w:val="00D30F92"/>
    <w:rsid w:val="00D414EC"/>
    <w:rsid w:val="00D43A7A"/>
    <w:rsid w:val="00D644A2"/>
    <w:rsid w:val="00D74111"/>
    <w:rsid w:val="00D74C9B"/>
    <w:rsid w:val="00D954B6"/>
    <w:rsid w:val="00DB2563"/>
    <w:rsid w:val="00DB52FD"/>
    <w:rsid w:val="00DB6601"/>
    <w:rsid w:val="00DD41E2"/>
    <w:rsid w:val="00DF06C6"/>
    <w:rsid w:val="00DF1833"/>
    <w:rsid w:val="00E05557"/>
    <w:rsid w:val="00E104B2"/>
    <w:rsid w:val="00E15027"/>
    <w:rsid w:val="00E32E29"/>
    <w:rsid w:val="00E34B2D"/>
    <w:rsid w:val="00E534FD"/>
    <w:rsid w:val="00E60952"/>
    <w:rsid w:val="00E61C5E"/>
    <w:rsid w:val="00E67ACE"/>
    <w:rsid w:val="00E93445"/>
    <w:rsid w:val="00EB0AC5"/>
    <w:rsid w:val="00EB0CFB"/>
    <w:rsid w:val="00EB4FEB"/>
    <w:rsid w:val="00ED5F73"/>
    <w:rsid w:val="00EF7ACE"/>
    <w:rsid w:val="00F10310"/>
    <w:rsid w:val="00F13DD2"/>
    <w:rsid w:val="00F16984"/>
    <w:rsid w:val="00F22DC5"/>
    <w:rsid w:val="00F337CC"/>
    <w:rsid w:val="00F35F1E"/>
    <w:rsid w:val="00F4689C"/>
    <w:rsid w:val="00F50DAC"/>
    <w:rsid w:val="00F50E12"/>
    <w:rsid w:val="00F5679B"/>
    <w:rsid w:val="00F62E5A"/>
    <w:rsid w:val="00F66EE4"/>
    <w:rsid w:val="00F677FB"/>
    <w:rsid w:val="00F7462B"/>
    <w:rsid w:val="00F82ADA"/>
    <w:rsid w:val="00F9165D"/>
    <w:rsid w:val="00F93628"/>
    <w:rsid w:val="00FC021A"/>
    <w:rsid w:val="00FC307C"/>
    <w:rsid w:val="00FC7AF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9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7801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8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707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35F1E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450B4"/>
    <w:pPr>
      <w:jc w:val="center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c">
    <w:name w:val="註釋標題 字元"/>
    <w:basedOn w:val="a0"/>
    <w:link w:val="ab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4450B4"/>
    <w:pPr>
      <w:ind w:leftChars="1800" w:left="100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e">
    <w:name w:val="結語 字元"/>
    <w:basedOn w:val="a0"/>
    <w:link w:val="ad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5A55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9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97801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8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707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35F1E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450B4"/>
    <w:pPr>
      <w:jc w:val="center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c">
    <w:name w:val="註釋標題 字元"/>
    <w:basedOn w:val="a0"/>
    <w:link w:val="ab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4450B4"/>
    <w:pPr>
      <w:ind w:leftChars="1800" w:left="100"/>
    </w:pPr>
    <w:rPr>
      <w:rFonts w:ascii="標楷體" w:eastAsia="標楷體" w:hAnsi="標楷體" w:cs="Arial"/>
      <w:bCs/>
      <w:color w:val="000000"/>
      <w:sz w:val="22"/>
    </w:rPr>
  </w:style>
  <w:style w:type="character" w:customStyle="1" w:styleId="ae">
    <w:name w:val="結語 字元"/>
    <w:basedOn w:val="a0"/>
    <w:link w:val="ad"/>
    <w:uiPriority w:val="99"/>
    <w:rsid w:val="004450B4"/>
    <w:rPr>
      <w:rFonts w:ascii="標楷體" w:eastAsia="標楷體" w:hAnsi="標楷體" w:cs="Arial"/>
      <w:bCs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5A55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6%B1%A0%E8%B4%AF%E5%9F%8E/2730820" TargetMode="External"/><Relationship Id="rId18" Type="http://schemas.openxmlformats.org/officeDocument/2006/relationships/hyperlink" Target="https://baike.baidu.com/item/%E7%A6%8F%E5%BB%BA%E7%9C%81/12253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baike.baidu.com/item/%E6%99%8B%E6%B1%9F/2489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vyou.baidu.com/mile" TargetMode="External"/><Relationship Id="rId17" Type="http://schemas.openxmlformats.org/officeDocument/2006/relationships/hyperlink" Target="https://baike.baidu.com/item/%E5%85%89%E7%BB%AA/55895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6%B4%8B%E5%A4%B4%E6%9D%91/10047971" TargetMode="External"/><Relationship Id="rId20" Type="http://schemas.openxmlformats.org/officeDocument/2006/relationships/hyperlink" Target="https://baike.baidu.com/item/%E5%85%A8%E5%9B%BD%E9%87%8D%E7%82%B9%E6%96%87%E7%89%A9%E4%BF%9D%E6%8A%A4%E5%8D%95%E4%BD%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8%A7%92%E5%B0%BE/171950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6%A7%90%E5%8D%97%E9%95%87/6602746" TargetMode="External"/><Relationship Id="rId23" Type="http://schemas.openxmlformats.org/officeDocument/2006/relationships/hyperlink" Target="https://baike.baidu.com/item/%E6%99%8B%E6%B1%9F%E4%B8%87%E8%BE%BE%E5%B9%BF%E5%9C%BA/274817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ike.baidu.com/item/%E5%9D%9B%E5%8D%97%E6%B9%BE/1396873" TargetMode="External"/><Relationship Id="rId19" Type="http://schemas.openxmlformats.org/officeDocument/2006/relationships/hyperlink" Target="https://baike.baidu.com/item/%E6%B0%91%E5%B1%85%E5%BB%BA%E7%AD%91/2766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ike.baidu.com/item/%E7%A6%8F%E5%BB%BA%E7%9C%81" TargetMode="External"/><Relationship Id="rId22" Type="http://schemas.openxmlformats.org/officeDocument/2006/relationships/hyperlink" Target="https://baike.baidu.com/item/%E4%B8%96%E7%BA%AA%E5%A4%A7%E9%81%93/6456533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4850-29F4-45BA-87E0-5BD6CD69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</cp:lastModifiedBy>
  <cp:revision>2</cp:revision>
  <cp:lastPrinted>2017-07-07T08:19:00Z</cp:lastPrinted>
  <dcterms:created xsi:type="dcterms:W3CDTF">2018-09-06T05:37:00Z</dcterms:created>
  <dcterms:modified xsi:type="dcterms:W3CDTF">2018-09-06T05:37:00Z</dcterms:modified>
</cp:coreProperties>
</file>